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45EE" w:rsidR="0039455B" w:rsidRDefault="00CA45EE" w14:paraId="5E5053D2" w14:textId="16F7652C">
      <w:pPr>
        <w:rPr>
          <w:b/>
          <w:bCs/>
          <w:sz w:val="48"/>
          <w:szCs w:val="48"/>
        </w:rPr>
      </w:pPr>
      <w:r w:rsidRPr="00CA45EE">
        <w:rPr>
          <w:b/>
          <w:bCs/>
          <w:sz w:val="48"/>
          <w:szCs w:val="48"/>
        </w:rPr>
        <w:t>Provider Meeting Agenda</w:t>
      </w:r>
    </w:p>
    <w:p w:rsidR="00CA45EE" w:rsidRDefault="00CA45EE" w14:paraId="1FCB9564" w14:textId="4D2CDA78">
      <w:pPr>
        <w:rPr>
          <w:sz w:val="40"/>
          <w:szCs w:val="40"/>
        </w:rPr>
      </w:pPr>
      <w:r w:rsidRPr="0D304DEC">
        <w:rPr>
          <w:sz w:val="40"/>
          <w:szCs w:val="40"/>
        </w:rPr>
        <w:t>March 10, 2021 @ 1:00 PM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935"/>
        <w:gridCol w:w="900"/>
        <w:gridCol w:w="2525"/>
      </w:tblGrid>
      <w:tr w:rsidRPr="00CA45EE" w:rsidR="00CA45EE" w:rsidTr="00F76DCA" w14:paraId="4A62024C" w14:textId="77777777">
        <w:tc>
          <w:tcPr>
            <w:tcW w:w="5935" w:type="dxa"/>
            <w:shd w:val="clear" w:color="auto" w:fill="BFBFBF" w:themeFill="background1" w:themeFillShade="BF"/>
          </w:tcPr>
          <w:p w:rsidRPr="00CA45EE" w:rsidR="00CA45EE" w:rsidRDefault="00CA45EE" w14:paraId="572111F2" w14:textId="612C12C4">
            <w:pPr>
              <w:rPr>
                <w:b/>
                <w:bCs/>
                <w:sz w:val="32"/>
                <w:szCs w:val="32"/>
              </w:rPr>
            </w:pPr>
            <w:r w:rsidRPr="00CA45EE"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5738385B" w:rsidP="5738385B" w:rsidRDefault="5738385B" w14:paraId="133B532E" w14:textId="65C084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5" w:type="dxa"/>
            <w:shd w:val="clear" w:color="auto" w:fill="BFBFBF" w:themeFill="background1" w:themeFillShade="BF"/>
          </w:tcPr>
          <w:p w:rsidRPr="00CA45EE" w:rsidR="00CA45EE" w:rsidRDefault="00CA45EE" w14:paraId="2ABA5BD7" w14:textId="010826E7">
            <w:pPr>
              <w:rPr>
                <w:b/>
                <w:bCs/>
                <w:sz w:val="32"/>
                <w:szCs w:val="32"/>
              </w:rPr>
            </w:pPr>
            <w:r w:rsidRPr="00CA45EE">
              <w:rPr>
                <w:b/>
                <w:bCs/>
                <w:sz w:val="32"/>
                <w:szCs w:val="32"/>
              </w:rPr>
              <w:t>PRESENTER</w:t>
            </w:r>
          </w:p>
        </w:tc>
      </w:tr>
      <w:tr w:rsidRPr="00F76DCA" w:rsidR="00CA45EE" w:rsidTr="00F76DCA" w14:paraId="05FA7C5A" w14:textId="77777777">
        <w:tc>
          <w:tcPr>
            <w:tcW w:w="5935" w:type="dxa"/>
          </w:tcPr>
          <w:p w:rsidRPr="00F76DCA" w:rsidR="00CA45EE" w:rsidP="38E737EC" w:rsidRDefault="00CA45EE" w14:paraId="6AE07A43" w14:textId="0368E190">
            <w:r w:rsidRPr="00F76DCA">
              <w:t>Welcome and Introduction</w:t>
            </w:r>
            <w:r w:rsidRPr="00F76DCA" w:rsidR="4A352050">
              <w:t xml:space="preserve"> (5)</w:t>
            </w:r>
            <w:r w:rsidRPr="00F76DCA" w:rsidR="00A62B92">
              <w:t xml:space="preserve"> –</w:t>
            </w:r>
          </w:p>
          <w:p w:rsidRPr="00F76DCA" w:rsidR="00A62B92" w:rsidP="38E737EC" w:rsidRDefault="00FA5EF8" w14:paraId="2CAD08C3" w14:textId="0B64CB5E">
            <w:pPr>
              <w:pStyle w:val="ListParagraph"/>
              <w:numPr>
                <w:ilvl w:val="0"/>
                <w:numId w:val="3"/>
              </w:numPr>
            </w:pPr>
            <w:r w:rsidRPr="00F76DCA">
              <w:t>Meeting</w:t>
            </w:r>
            <w:r w:rsidRPr="00F76DCA" w:rsidR="00A62B92">
              <w:t xml:space="preserve"> is being recorded</w:t>
            </w:r>
          </w:p>
          <w:p w:rsidRPr="00F76DCA" w:rsidR="00A62B92" w:rsidP="38E737EC" w:rsidRDefault="00A62B92" w14:paraId="4F41E79A" w14:textId="04402A8D"/>
        </w:tc>
        <w:tc>
          <w:tcPr>
            <w:tcW w:w="900" w:type="dxa"/>
          </w:tcPr>
          <w:p w:rsidRPr="00F76DCA" w:rsidR="29A1261A" w:rsidP="5738385B" w:rsidRDefault="29A1261A" w14:paraId="7D63BDA5" w14:textId="22D8CAFC">
            <w:r w:rsidRPr="00F76DCA">
              <w:t>5</w:t>
            </w:r>
          </w:p>
        </w:tc>
        <w:tc>
          <w:tcPr>
            <w:tcW w:w="2525" w:type="dxa"/>
          </w:tcPr>
          <w:p w:rsidRPr="00F76DCA" w:rsidR="00CA45EE" w:rsidP="38E737EC" w:rsidRDefault="00CA45EE" w14:paraId="2E5ECD66" w14:textId="27EE8E93">
            <w:r w:rsidRPr="00F76DCA">
              <w:t>Jancy</w:t>
            </w:r>
            <w:r w:rsidRPr="00F76DCA" w:rsidR="62BC4A1C">
              <w:t xml:space="preserve">  </w:t>
            </w:r>
          </w:p>
        </w:tc>
      </w:tr>
      <w:tr w:rsidRPr="00F76DCA" w:rsidR="5738385B" w:rsidTr="00F76DCA" w14:paraId="530E374F" w14:textId="77777777">
        <w:tc>
          <w:tcPr>
            <w:tcW w:w="5935" w:type="dxa"/>
          </w:tcPr>
          <w:p w:rsidRPr="00F76DCA" w:rsidR="4BE3AAFF" w:rsidP="5738385B" w:rsidRDefault="4BE3AAFF" w14:paraId="3B0B011C" w14:textId="77777777">
            <w:r w:rsidRPr="00F76DCA">
              <w:t xml:space="preserve">ELC Department Realignment </w:t>
            </w:r>
          </w:p>
          <w:p w:rsidRPr="00F76DCA" w:rsidR="00532053" w:rsidP="00532053" w:rsidRDefault="00532053" w14:paraId="7DE5D017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>Quality and Compliance split in March 2020</w:t>
            </w:r>
          </w:p>
          <w:p w:rsidRPr="00F76DCA" w:rsidR="00532053" w:rsidP="00532053" w:rsidRDefault="00532053" w14:paraId="33319D6E" w14:textId="77777777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76DCA">
              <w:t>Case loads</w:t>
            </w:r>
            <w:proofErr w:type="spellEnd"/>
            <w:r w:rsidRPr="00F76DCA">
              <w:t xml:space="preserve"> were assigned to specialists </w:t>
            </w:r>
          </w:p>
          <w:p w:rsidRPr="00F76DCA" w:rsidR="00532053" w:rsidP="00532053" w:rsidRDefault="00532053" w14:paraId="63D917C3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>Extension #8803</w:t>
            </w:r>
          </w:p>
          <w:p w:rsidRPr="00F76DCA" w:rsidR="00532053" w:rsidP="00532053" w:rsidRDefault="00532053" w14:paraId="414AAAA2" w14:textId="17D04668">
            <w:pPr>
              <w:pStyle w:val="ListParagraph"/>
              <w:numPr>
                <w:ilvl w:val="0"/>
                <w:numId w:val="3"/>
              </w:numPr>
            </w:pPr>
            <w:hyperlink w:history="1" r:id="rId8">
              <w:r w:rsidRPr="00F76DCA">
                <w:rPr>
                  <w:rStyle w:val="Hyperlink"/>
                </w:rPr>
                <w:t>Compliance@elcfv.org</w:t>
              </w:r>
            </w:hyperlink>
          </w:p>
          <w:p w:rsidRPr="00F76DCA" w:rsidR="00532053" w:rsidP="00FA5EF8" w:rsidRDefault="00532053" w14:paraId="4E63C61B" w14:textId="4CB7C699">
            <w:pPr>
              <w:ind w:left="360"/>
            </w:pPr>
          </w:p>
        </w:tc>
        <w:tc>
          <w:tcPr>
            <w:tcW w:w="900" w:type="dxa"/>
          </w:tcPr>
          <w:p w:rsidRPr="00F76DCA" w:rsidR="5E25D210" w:rsidP="5738385B" w:rsidRDefault="5E25D210" w14:paraId="6107BED1" w14:textId="6FCDA19A">
            <w:r w:rsidRPr="00F76DCA">
              <w:t>5</w:t>
            </w:r>
          </w:p>
        </w:tc>
        <w:tc>
          <w:tcPr>
            <w:tcW w:w="2525" w:type="dxa"/>
          </w:tcPr>
          <w:p w:rsidRPr="00F76DCA" w:rsidR="5E25D210" w:rsidP="5738385B" w:rsidRDefault="5E25D210" w14:paraId="003A7931" w14:textId="3C4D4D70">
            <w:r w:rsidRPr="00F76DCA">
              <w:t>Melanie</w:t>
            </w:r>
          </w:p>
        </w:tc>
      </w:tr>
      <w:tr w:rsidRPr="00F76DCA" w:rsidR="00CA45EE" w:rsidTr="00F76DCA" w14:paraId="57448962" w14:textId="77777777">
        <w:tc>
          <w:tcPr>
            <w:tcW w:w="5935" w:type="dxa"/>
          </w:tcPr>
          <w:p w:rsidRPr="00F76DCA" w:rsidR="00CA45EE" w:rsidP="38E737EC" w:rsidRDefault="00CA45EE" w14:paraId="0E79AF10" w14:textId="77777777">
            <w:r w:rsidRPr="00F76DCA">
              <w:t>ASQ Process</w:t>
            </w:r>
            <w:r w:rsidRPr="00F76DCA" w:rsidR="35156CE9">
              <w:t xml:space="preserve"> (</w:t>
            </w:r>
            <w:r w:rsidRPr="00F76DCA" w:rsidR="51B728EB">
              <w:t>10)</w:t>
            </w:r>
          </w:p>
          <w:p w:rsidRPr="00F76DCA" w:rsidR="00532053" w:rsidP="00532053" w:rsidRDefault="00532053" w14:paraId="7BBFE0B4" w14:textId="34DA8807">
            <w:pPr>
              <w:pStyle w:val="ListParagraph"/>
              <w:numPr>
                <w:ilvl w:val="0"/>
                <w:numId w:val="3"/>
              </w:numPr>
            </w:pPr>
            <w:r w:rsidRPr="00F76DCA">
              <w:t>power point on new ASQ process</w:t>
            </w:r>
          </w:p>
        </w:tc>
        <w:tc>
          <w:tcPr>
            <w:tcW w:w="900" w:type="dxa"/>
          </w:tcPr>
          <w:p w:rsidRPr="00F76DCA" w:rsidR="4A3ECA8E" w:rsidP="5738385B" w:rsidRDefault="4A3ECA8E" w14:paraId="2663CFAF" w14:textId="5B873C56">
            <w:r w:rsidRPr="00F76DCA">
              <w:t>10</w:t>
            </w:r>
          </w:p>
        </w:tc>
        <w:tc>
          <w:tcPr>
            <w:tcW w:w="2525" w:type="dxa"/>
          </w:tcPr>
          <w:p w:rsidRPr="00F76DCA" w:rsidR="00CA45EE" w:rsidP="38E737EC" w:rsidRDefault="00CA45EE" w14:paraId="28C08DD7" w14:textId="256F10E0">
            <w:r w:rsidRPr="00F76DCA">
              <w:t xml:space="preserve">Micky </w:t>
            </w:r>
          </w:p>
          <w:p w:rsidRPr="00F76DCA" w:rsidR="00CA45EE" w:rsidP="38E737EC" w:rsidRDefault="00CA45EE" w14:paraId="0B1C49B6" w14:textId="1E9A0F7E">
            <w:r w:rsidRPr="00F76DCA">
              <w:t>Kim</w:t>
            </w:r>
            <w:r w:rsidRPr="00F76DCA" w:rsidR="41A94679">
              <w:t xml:space="preserve"> </w:t>
            </w:r>
            <w:r w:rsidRPr="00F76DCA" w:rsidR="15A8F667">
              <w:t>-FS</w:t>
            </w:r>
          </w:p>
        </w:tc>
      </w:tr>
      <w:tr w:rsidRPr="00F76DCA" w:rsidR="00CA45EE" w:rsidTr="00F76DCA" w14:paraId="07AAD5CD" w14:textId="77777777">
        <w:tc>
          <w:tcPr>
            <w:tcW w:w="5935" w:type="dxa"/>
          </w:tcPr>
          <w:p w:rsidRPr="00F76DCA" w:rsidR="00CA45EE" w:rsidP="5738385B" w:rsidRDefault="486AB521" w14:paraId="5F15BA79" w14:textId="72B6A211">
            <w:r w:rsidRPr="00F76DCA">
              <w:t xml:space="preserve">Parent must electronically sign certificate </w:t>
            </w:r>
            <w:proofErr w:type="gramStart"/>
            <w:r w:rsidRPr="00F76DCA" w:rsidR="00FA5EF8">
              <w:t>in order for</w:t>
            </w:r>
            <w:proofErr w:type="gramEnd"/>
            <w:r w:rsidRPr="00F76DCA" w:rsidR="00FA5EF8">
              <w:t xml:space="preserve"> payment to be made to provider.</w:t>
            </w:r>
          </w:p>
        </w:tc>
        <w:tc>
          <w:tcPr>
            <w:tcW w:w="900" w:type="dxa"/>
          </w:tcPr>
          <w:p w:rsidRPr="00F76DCA" w:rsidR="1EB6AA1E" w:rsidP="5738385B" w:rsidRDefault="1EB6AA1E" w14:paraId="2F2E7954" w14:textId="413CAC11">
            <w:r w:rsidRPr="00F76DCA">
              <w:t>5</w:t>
            </w:r>
          </w:p>
        </w:tc>
        <w:tc>
          <w:tcPr>
            <w:tcW w:w="2525" w:type="dxa"/>
          </w:tcPr>
          <w:p w:rsidRPr="00F76DCA" w:rsidR="486AB521" w:rsidP="5738385B" w:rsidRDefault="486AB521" w14:paraId="00FCA426" w14:textId="1186AB66">
            <w:pPr>
              <w:spacing w:line="259" w:lineRule="auto"/>
            </w:pPr>
            <w:r w:rsidRPr="00F76DCA">
              <w:t>Kim</w:t>
            </w:r>
            <w:r w:rsidRPr="00F76DCA" w:rsidR="6DCB7230">
              <w:t xml:space="preserve"> - FS</w:t>
            </w:r>
          </w:p>
          <w:p w:rsidRPr="00F76DCA" w:rsidR="00CA45EE" w:rsidP="38E737EC" w:rsidRDefault="00CA45EE" w14:paraId="5F9F91D7" w14:textId="2F74849D"/>
        </w:tc>
      </w:tr>
      <w:tr w:rsidRPr="00F76DCA" w:rsidR="38E737EC" w:rsidTr="00F76DCA" w14:paraId="5A5EBE3B" w14:textId="77777777">
        <w:tc>
          <w:tcPr>
            <w:tcW w:w="5935" w:type="dxa"/>
          </w:tcPr>
          <w:p w:rsidRPr="00F76DCA" w:rsidR="3177F3B2" w:rsidP="38E737EC" w:rsidRDefault="00FA5EF8" w14:paraId="5D446175" w14:textId="21271DB6">
            <w:r w:rsidRPr="00F76DCA">
              <w:t xml:space="preserve">Enrollment </w:t>
            </w:r>
            <w:r w:rsidRPr="00F76DCA" w:rsidR="66E891B8">
              <w:t xml:space="preserve"> </w:t>
            </w:r>
          </w:p>
        </w:tc>
        <w:tc>
          <w:tcPr>
            <w:tcW w:w="900" w:type="dxa"/>
          </w:tcPr>
          <w:p w:rsidRPr="00F76DCA" w:rsidR="5738385B" w:rsidP="5738385B" w:rsidRDefault="5738385B" w14:paraId="486D9F29" w14:textId="54BEC56F"/>
        </w:tc>
        <w:tc>
          <w:tcPr>
            <w:tcW w:w="2525" w:type="dxa"/>
          </w:tcPr>
          <w:p w:rsidRPr="00F76DCA" w:rsidR="38E737EC" w:rsidP="38E737EC" w:rsidRDefault="0F3262CC" w14:paraId="79513B9E" w14:textId="7B36399A">
            <w:r w:rsidRPr="00F76DCA">
              <w:t xml:space="preserve">Kim </w:t>
            </w:r>
            <w:r w:rsidRPr="00F76DCA" w:rsidR="6E3F0B6C">
              <w:t>- FS</w:t>
            </w:r>
          </w:p>
        </w:tc>
      </w:tr>
      <w:tr w:rsidRPr="00F76DCA" w:rsidR="38E737EC" w:rsidTr="00F76DCA" w14:paraId="21EB233F" w14:textId="77777777">
        <w:tc>
          <w:tcPr>
            <w:tcW w:w="5935" w:type="dxa"/>
          </w:tcPr>
          <w:p w:rsidRPr="00F76DCA" w:rsidR="3177F3B2" w:rsidP="38E737EC" w:rsidRDefault="3177F3B2" w14:paraId="770AC15B" w14:textId="77777777">
            <w:r w:rsidRPr="00F76DCA">
              <w:t xml:space="preserve">PPP Small Business Loans </w:t>
            </w:r>
          </w:p>
          <w:p w:rsidRPr="00F76DCA" w:rsidR="00FA5EF8" w:rsidP="38E737EC" w:rsidRDefault="00FA5EF8" w14:paraId="6133F71D" w14:textId="77777777">
            <w:r w:rsidRPr="00F76DCA">
              <w:t>Apply until March 31</w:t>
            </w:r>
            <w:r w:rsidRPr="00F76DCA">
              <w:rPr>
                <w:vertAlign w:val="superscript"/>
              </w:rPr>
              <w:t>st</w:t>
            </w:r>
            <w:r w:rsidRPr="00F76DCA">
              <w:t xml:space="preserve"> </w:t>
            </w:r>
          </w:p>
          <w:p w:rsidRPr="00F76DCA" w:rsidR="00FA5EF8" w:rsidP="38E737EC" w:rsidRDefault="00FA5EF8" w14:paraId="0C982685" w14:textId="1F118D14">
            <w:hyperlink w:history="1" r:id="rId9">
              <w:r w:rsidRPr="00F76DCA">
                <w:rPr>
                  <w:rStyle w:val="Hyperlink"/>
                </w:rPr>
                <w:t>Link on ELCFV website</w:t>
              </w:r>
            </w:hyperlink>
            <w:r w:rsidRPr="00F76DCA">
              <w:t xml:space="preserve"> </w:t>
            </w:r>
          </w:p>
        </w:tc>
        <w:tc>
          <w:tcPr>
            <w:tcW w:w="900" w:type="dxa"/>
          </w:tcPr>
          <w:p w:rsidRPr="00F76DCA" w:rsidR="1D6D94EC" w:rsidP="5738385B" w:rsidRDefault="1D6D94EC" w14:paraId="1786C008" w14:textId="0948D646">
            <w:r w:rsidRPr="00F76DCA">
              <w:t>5</w:t>
            </w:r>
          </w:p>
        </w:tc>
        <w:tc>
          <w:tcPr>
            <w:tcW w:w="2525" w:type="dxa"/>
          </w:tcPr>
          <w:p w:rsidRPr="00F76DCA" w:rsidR="38E737EC" w:rsidP="38E737EC" w:rsidRDefault="4B2F4B7A" w14:paraId="6ADA384B" w14:textId="706C7511">
            <w:r w:rsidRPr="00F76DCA">
              <w:t>Jancy</w:t>
            </w:r>
          </w:p>
        </w:tc>
      </w:tr>
      <w:tr w:rsidRPr="00F76DCA" w:rsidR="38E737EC" w:rsidTr="00F76DCA" w14:paraId="6C00AE34" w14:textId="77777777">
        <w:tc>
          <w:tcPr>
            <w:tcW w:w="5935" w:type="dxa"/>
          </w:tcPr>
          <w:p w:rsidRPr="00F76DCA" w:rsidR="3C0D654E" w:rsidP="38E737EC" w:rsidRDefault="3C0D654E" w14:paraId="401371A3" w14:textId="2CA311F6">
            <w:r w:rsidRPr="00F76DCA">
              <w:t>Summer VPK</w:t>
            </w:r>
            <w:r w:rsidRPr="00F76DCA" w:rsidR="66693D49">
              <w:t xml:space="preserve"> – </w:t>
            </w:r>
            <w:r w:rsidRPr="00F76DCA" w:rsidR="00FA5EF8">
              <w:t xml:space="preserve">see </w:t>
            </w:r>
            <w:r w:rsidRPr="00F76DCA" w:rsidR="66693D49">
              <w:t>fact sheet</w:t>
            </w:r>
          </w:p>
        </w:tc>
        <w:tc>
          <w:tcPr>
            <w:tcW w:w="900" w:type="dxa"/>
          </w:tcPr>
          <w:p w:rsidRPr="00F76DCA" w:rsidR="55ABE3B9" w:rsidP="5738385B" w:rsidRDefault="55ABE3B9" w14:paraId="50388E13" w14:textId="33655998">
            <w:r w:rsidRPr="00F76DCA">
              <w:t>5</w:t>
            </w:r>
          </w:p>
        </w:tc>
        <w:tc>
          <w:tcPr>
            <w:tcW w:w="2525" w:type="dxa"/>
          </w:tcPr>
          <w:p w:rsidRPr="00F76DCA" w:rsidR="38E737EC" w:rsidP="38E737EC" w:rsidRDefault="5314EB58" w14:paraId="3D3299D1" w14:textId="460EDD84">
            <w:r w:rsidRPr="00F76DCA">
              <w:t>Nancy</w:t>
            </w:r>
          </w:p>
        </w:tc>
      </w:tr>
      <w:tr w:rsidRPr="00F76DCA" w:rsidR="64557C63" w:rsidTr="00F76DCA" w14:paraId="2EEB1F2F" w14:textId="77777777">
        <w:tc>
          <w:tcPr>
            <w:tcW w:w="5935" w:type="dxa"/>
          </w:tcPr>
          <w:p w:rsidRPr="00F76DCA" w:rsidR="65961504" w:rsidP="38E737EC" w:rsidRDefault="65961504" w14:paraId="66707F6A" w14:textId="77777777">
            <w:r w:rsidRPr="00F76DCA">
              <w:t>DCF and/or Daytona State</w:t>
            </w:r>
          </w:p>
          <w:p w:rsidRPr="00F76DCA" w:rsidR="00E756DD" w:rsidP="00E756DD" w:rsidRDefault="00E756DD" w14:paraId="2D10FE28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 xml:space="preserve">New process for fees – fees </w:t>
            </w:r>
            <w:proofErr w:type="gramStart"/>
            <w:r w:rsidRPr="00F76DCA">
              <w:t>need</w:t>
            </w:r>
            <w:proofErr w:type="gramEnd"/>
            <w:r w:rsidRPr="00F76DCA">
              <w:t xml:space="preserve"> to be sent to PO BOX in Tallahassee.  </w:t>
            </w:r>
          </w:p>
          <w:p w:rsidRPr="00F76DCA" w:rsidR="00E756DD" w:rsidP="00E756DD" w:rsidRDefault="00E756DD" w14:paraId="3DB817BA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>Check must be sent the same time as the packet</w:t>
            </w:r>
            <w:r w:rsidRPr="00F76DCA" w:rsidR="00621BB1">
              <w:t xml:space="preserve"> – if check is received after packet, it will be considered late</w:t>
            </w:r>
          </w:p>
          <w:p w:rsidRPr="00F76DCA" w:rsidR="00621BB1" w:rsidP="00E756DD" w:rsidRDefault="00621BB1" w14:paraId="0443177F" w14:textId="4F285602">
            <w:pPr>
              <w:pStyle w:val="ListParagraph"/>
              <w:numPr>
                <w:ilvl w:val="0"/>
                <w:numId w:val="3"/>
              </w:numPr>
            </w:pPr>
            <w:r w:rsidRPr="00F76DCA">
              <w:t xml:space="preserve">Packets need to be faxed, </w:t>
            </w:r>
            <w:proofErr w:type="gramStart"/>
            <w:r w:rsidRPr="00F76DCA">
              <w:t>e-mailed</w:t>
            </w:r>
            <w:proofErr w:type="gramEnd"/>
            <w:r w:rsidRPr="00F76DCA">
              <w:t xml:space="preserve"> or mailed to local DCF staff (e-mailed packets must be scanned)</w:t>
            </w:r>
          </w:p>
          <w:p w:rsidRPr="00F76DCA" w:rsidR="00621BB1" w:rsidP="00E756DD" w:rsidRDefault="00621BB1" w14:paraId="3B271EB6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 xml:space="preserve">If one positive case in a program, must call the Health Department </w:t>
            </w:r>
          </w:p>
          <w:p w:rsidRPr="00F76DCA" w:rsidR="00621BB1" w:rsidP="00E756DD" w:rsidRDefault="00621BB1" w14:paraId="1E1D2036" w14:textId="075FFA77">
            <w:pPr>
              <w:pStyle w:val="ListParagraph"/>
              <w:numPr>
                <w:ilvl w:val="0"/>
                <w:numId w:val="3"/>
              </w:numPr>
            </w:pPr>
            <w:r w:rsidRPr="00F76DCA">
              <w:t>Extension has been granted for testing at DSC (testing must be done in person) – still take the courses and complete the course; students will get acknowledgement of enrollment form via e-mail and they must present that form when go to DSC campus to take their test</w:t>
            </w:r>
          </w:p>
          <w:p w:rsidRPr="00F76DCA" w:rsidR="00621BB1" w:rsidP="00E756DD" w:rsidRDefault="00621BB1" w14:paraId="1CC6515B" w14:textId="77777777">
            <w:pPr>
              <w:pStyle w:val="ListParagraph"/>
              <w:numPr>
                <w:ilvl w:val="0"/>
                <w:numId w:val="3"/>
              </w:numPr>
            </w:pPr>
            <w:r w:rsidRPr="00F76DCA">
              <w:t>DSC offers exams sessions on Saturdays (9 and 10) and Wednesday evenings</w:t>
            </w:r>
          </w:p>
          <w:p w:rsidRPr="00F76DCA" w:rsidR="00621BB1" w:rsidP="00E756DD" w:rsidRDefault="00621BB1" w14:paraId="1FE786DC" w14:textId="05664825">
            <w:pPr>
              <w:pStyle w:val="ListParagraph"/>
              <w:numPr>
                <w:ilvl w:val="0"/>
                <w:numId w:val="3"/>
              </w:numPr>
            </w:pPr>
            <w:r w:rsidRPr="00F76DCA">
              <w:t xml:space="preserve">Only sign up for one exam session – provider is responsible for paying for exam sessions </w:t>
            </w:r>
            <w:proofErr w:type="gramStart"/>
            <w:r w:rsidRPr="00F76DCA">
              <w:t>whether or not</w:t>
            </w:r>
            <w:proofErr w:type="gramEnd"/>
            <w:r w:rsidRPr="00F76DCA">
              <w:t xml:space="preserve"> individual attends </w:t>
            </w:r>
          </w:p>
        </w:tc>
        <w:tc>
          <w:tcPr>
            <w:tcW w:w="900" w:type="dxa"/>
          </w:tcPr>
          <w:p w:rsidRPr="00F76DCA" w:rsidR="5C5B66E1" w:rsidP="5738385B" w:rsidRDefault="5C5B66E1" w14:paraId="61B2E5B8" w14:textId="5714ADAF">
            <w:pPr>
              <w:spacing w:line="259" w:lineRule="auto"/>
            </w:pPr>
            <w:r w:rsidRPr="00F76DCA">
              <w:t>5</w:t>
            </w:r>
          </w:p>
        </w:tc>
        <w:tc>
          <w:tcPr>
            <w:tcW w:w="2525" w:type="dxa"/>
          </w:tcPr>
          <w:p w:rsidRPr="00F76DCA" w:rsidR="65961504" w:rsidP="38E737EC" w:rsidRDefault="65961504" w14:paraId="67B8B5D8" w14:textId="467C07EE">
            <w:r w:rsidRPr="00F76DCA">
              <w:t>Jennifer/Rutha</w:t>
            </w:r>
            <w:r w:rsidRPr="00F76DCA" w:rsidR="555E3B88">
              <w:t xml:space="preserve">; Nancy </w:t>
            </w:r>
          </w:p>
        </w:tc>
      </w:tr>
      <w:tr w:rsidRPr="00F76DCA" w:rsidR="5738385B" w:rsidTr="00F76DCA" w14:paraId="7F5A3D4A" w14:textId="77777777">
        <w:tc>
          <w:tcPr>
            <w:tcW w:w="5935" w:type="dxa"/>
          </w:tcPr>
          <w:p w:rsidRPr="00F76DCA" w:rsidR="7ED35F77" w:rsidP="5738385B" w:rsidRDefault="7ED35F77" w14:paraId="51E47622" w14:textId="513EB1E6">
            <w:r w:rsidRPr="00F76DCA">
              <w:t>Closing and Explanation of Breakout Rooms</w:t>
            </w:r>
          </w:p>
        </w:tc>
        <w:tc>
          <w:tcPr>
            <w:tcW w:w="900" w:type="dxa"/>
          </w:tcPr>
          <w:p w:rsidRPr="00F76DCA" w:rsidR="7ED35F77" w:rsidP="5738385B" w:rsidRDefault="7ED35F77" w14:paraId="68A2CA4E" w14:textId="358DD936">
            <w:r w:rsidRPr="00F76DCA">
              <w:t>2</w:t>
            </w:r>
          </w:p>
        </w:tc>
        <w:tc>
          <w:tcPr>
            <w:tcW w:w="2525" w:type="dxa"/>
          </w:tcPr>
          <w:p w:rsidRPr="00F76DCA" w:rsidR="7ED35F77" w:rsidP="5738385B" w:rsidRDefault="7ED35F77" w14:paraId="10497E98" w14:textId="239E5002">
            <w:r w:rsidRPr="00F76DCA">
              <w:t xml:space="preserve">Jancy </w:t>
            </w:r>
          </w:p>
        </w:tc>
      </w:tr>
      <w:tr w:rsidRPr="00F76DCA" w:rsidR="00CA45EE" w:rsidTr="00F76DCA" w14:paraId="2D457505" w14:textId="77777777">
        <w:tc>
          <w:tcPr>
            <w:tcW w:w="5935" w:type="dxa"/>
          </w:tcPr>
          <w:p w:rsidRPr="00F76DCA" w:rsidR="00CA45EE" w:rsidP="5738385B" w:rsidRDefault="00CA45EE" w14:paraId="7E60B772" w14:textId="062917C4">
            <w:r w:rsidRPr="00F76DCA">
              <w:t>Questions</w:t>
            </w:r>
            <w:r w:rsidRPr="00F76DCA" w:rsidR="121F225A">
              <w:t xml:space="preserve"> in Breakout Rooms: </w:t>
            </w:r>
          </w:p>
          <w:p w:rsidRPr="00F76DCA" w:rsidR="00CA45EE" w:rsidP="5738385B" w:rsidRDefault="121F225A" w14:paraId="6BA734FE" w14:textId="506509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F76DCA">
              <w:lastRenderedPageBreak/>
              <w:t>ASQ – More Info</w:t>
            </w:r>
            <w:r w:rsidRPr="00F76DCA" w:rsidR="31A7905A">
              <w:t xml:space="preserve"> (Micky)</w:t>
            </w:r>
          </w:p>
          <w:p w:rsidRPr="00F76DCA" w:rsidR="00CA45EE" w:rsidP="5738385B" w:rsidRDefault="2365AC09" w14:paraId="33D050DF" w14:textId="3A625562">
            <w:pPr>
              <w:pStyle w:val="ListParagraph"/>
              <w:numPr>
                <w:ilvl w:val="0"/>
                <w:numId w:val="1"/>
              </w:numPr>
            </w:pPr>
            <w:r w:rsidRPr="00F76DCA">
              <w:t>Enrollment</w:t>
            </w:r>
            <w:r w:rsidRPr="00F76DCA" w:rsidR="71018E66">
              <w:t>/Eligi</w:t>
            </w:r>
            <w:r w:rsidRPr="00F76DCA" w:rsidR="49C5D2DD">
              <w:t>bi</w:t>
            </w:r>
            <w:r w:rsidRPr="00F76DCA" w:rsidR="71018E66">
              <w:t>lity</w:t>
            </w:r>
            <w:r w:rsidRPr="00F76DCA" w:rsidR="3E606317">
              <w:t xml:space="preserve"> (Kim)</w:t>
            </w:r>
          </w:p>
          <w:p w:rsidRPr="00F76DCA" w:rsidR="00CA45EE" w:rsidP="5738385B" w:rsidRDefault="53969D65" w14:paraId="3A068727" w14:textId="2EC00CCC">
            <w:pPr>
              <w:pStyle w:val="ListParagraph"/>
              <w:numPr>
                <w:ilvl w:val="0"/>
                <w:numId w:val="1"/>
              </w:numPr>
            </w:pPr>
            <w:r w:rsidRPr="00F76DCA">
              <w:t>VPK info</w:t>
            </w:r>
            <w:r w:rsidRPr="00F76DCA" w:rsidR="1336A1D3">
              <w:t xml:space="preserve"> (Nancy)</w:t>
            </w:r>
          </w:p>
          <w:p w:rsidRPr="00F76DCA" w:rsidR="00CA45EE" w:rsidP="5738385B" w:rsidRDefault="501B25FB" w14:paraId="05BDB17A" w14:textId="49F0EB1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F76DCA">
              <w:t>Compliance</w:t>
            </w:r>
            <w:r w:rsidRPr="00F76DCA" w:rsidR="75B69376">
              <w:t>/DCF Licensing (Melanie &amp; Jennifer)</w:t>
            </w:r>
          </w:p>
        </w:tc>
        <w:tc>
          <w:tcPr>
            <w:tcW w:w="900" w:type="dxa"/>
          </w:tcPr>
          <w:p w:rsidRPr="00F76DCA" w:rsidR="5738385B" w:rsidP="5738385B" w:rsidRDefault="5738385B" w14:paraId="0317B648" w14:textId="0AE32D8B"/>
        </w:tc>
        <w:tc>
          <w:tcPr>
            <w:tcW w:w="2525" w:type="dxa"/>
          </w:tcPr>
          <w:p w:rsidRPr="00F76DCA" w:rsidR="00CA45EE" w:rsidP="38E737EC" w:rsidRDefault="00CA45EE" w14:paraId="594E55FB" w14:textId="6FF6EDFA">
            <w:r w:rsidRPr="00F76DCA">
              <w:t xml:space="preserve">ELC Team </w:t>
            </w:r>
          </w:p>
        </w:tc>
      </w:tr>
    </w:tbl>
    <w:p w:rsidRPr="00F76DCA" w:rsidR="00CA45EE" w:rsidRDefault="00CA45EE" w14:paraId="4AF008D1" w14:textId="26AA3E79">
      <w:pPr>
        <w:rPr>
          <w:rFonts w:cstheme="minorHAnsi"/>
        </w:rPr>
      </w:pPr>
    </w:p>
    <w:p w:rsidRPr="00F76DCA" w:rsidR="00F76DCA" w:rsidP="00FA5EF8" w:rsidRDefault="00F76DCA" w14:paraId="7FE0C1C3" w14:textId="61F8D840">
      <w:pPr>
        <w:rPr>
          <w:rFonts w:cstheme="minorHAnsi"/>
        </w:rPr>
      </w:pPr>
      <w:r w:rsidRPr="00F76DCA">
        <w:rPr>
          <w:rFonts w:cstheme="minorHAnsi"/>
        </w:rPr>
        <w:t>Questions &amp; Answers from Breakout Rooms:</w:t>
      </w:r>
    </w:p>
    <w:p w:rsidRPr="00F76DCA" w:rsidR="00F76DCA" w:rsidP="53148D40" w:rsidRDefault="00F76DCA" w14:paraId="4CCA4513" w14:textId="282BBCBF">
      <w:pPr>
        <w:pStyle w:val="ListParagraph"/>
        <w:numPr>
          <w:ilvl w:val="0"/>
          <w:numId w:val="4"/>
        </w:numPr>
        <w:rPr>
          <w:rFonts w:eastAsia="" w:cs="Calibri" w:eastAsiaTheme="minorEastAsia" w:cstheme="minorAscii"/>
        </w:rPr>
      </w:pPr>
      <w:r w:rsidRPr="53148D40" w:rsidR="00F76DCA">
        <w:rPr>
          <w:rFonts w:cs="Calibri" w:cstheme="minorAscii"/>
        </w:rPr>
        <w:t xml:space="preserve">ASQ </w:t>
      </w:r>
    </w:p>
    <w:p w:rsidR="53148D40" w:rsidP="53148D40" w:rsidRDefault="53148D40" w14:paraId="4A0E5358" w14:textId="7333817E">
      <w:pPr>
        <w:pStyle w:val="Normal"/>
        <w:ind w:left="0"/>
        <w:rPr>
          <w:rFonts w:cs="Calibri" w:cstheme="minorAscii"/>
        </w:rPr>
      </w:pPr>
    </w:p>
    <w:p w:rsidRPr="00F76DCA" w:rsidR="00F76DCA" w:rsidP="53148D40" w:rsidRDefault="00F76DCA" w14:paraId="41D29BA1" w14:textId="090532DF">
      <w:pPr>
        <w:pStyle w:val="ListParagraph"/>
        <w:numPr>
          <w:ilvl w:val="0"/>
          <w:numId w:val="4"/>
        </w:numPr>
        <w:rPr>
          <w:rFonts w:eastAsia="" w:cs="Calibri" w:eastAsiaTheme="minorEastAsia" w:cstheme="minorAscii"/>
        </w:rPr>
      </w:pPr>
      <w:r w:rsidRPr="53148D40" w:rsidR="00F76DCA">
        <w:rPr>
          <w:rFonts w:cs="Calibri" w:cstheme="minorAscii"/>
        </w:rPr>
        <w:t>Enrollment/Eligibility</w:t>
      </w:r>
    </w:p>
    <w:p w:rsidR="53148D40" w:rsidP="53148D40" w:rsidRDefault="53148D40" w14:paraId="2D473914" w14:textId="43F4D691">
      <w:pPr>
        <w:pStyle w:val="Normal"/>
        <w:ind w:left="0"/>
        <w:rPr>
          <w:rFonts w:cs="Calibri" w:cstheme="minorAscii"/>
        </w:rPr>
      </w:pPr>
    </w:p>
    <w:p w:rsidRPr="00F76DCA" w:rsidR="00F76DCA" w:rsidP="53148D40" w:rsidRDefault="00F76DCA" w14:paraId="1563CEB8" w14:textId="6121309D">
      <w:pPr>
        <w:pStyle w:val="ListParagraph"/>
        <w:numPr>
          <w:ilvl w:val="0"/>
          <w:numId w:val="4"/>
        </w:numPr>
        <w:rPr>
          <w:rFonts w:eastAsia="" w:cs="Calibri" w:eastAsiaTheme="minorEastAsia" w:cstheme="minorAscii"/>
        </w:rPr>
      </w:pPr>
      <w:r w:rsidRPr="53148D40" w:rsidR="00F76DCA">
        <w:rPr>
          <w:rFonts w:cs="Calibri" w:cstheme="minorAscii"/>
        </w:rPr>
        <w:t>VPK info</w:t>
      </w:r>
      <w:r w:rsidRPr="53148D40" w:rsidR="011D5983">
        <w:rPr>
          <w:rFonts w:cs="Calibri" w:cstheme="minorAscii"/>
        </w:rPr>
        <w:t>:</w:t>
      </w:r>
    </w:p>
    <w:p w:rsidR="011D5983" w:rsidP="53148D40" w:rsidRDefault="011D5983" w14:paraId="3A768F40" w14:textId="3B181F1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What are the dates for starting and ending </w:t>
      </w:r>
      <w:proofErr w:type="gramStart"/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summer</w:t>
      </w:r>
      <w:proofErr w:type="gramEnd"/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session?  </w:t>
      </w:r>
    </w:p>
    <w:p w:rsidR="011D5983" w:rsidP="53148D40" w:rsidRDefault="011D5983" w14:paraId="4DE7725A" w14:textId="37AF658D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Summer VPK may begin as early as May 1 and must end before your local school district starts school in August.  </w:t>
      </w:r>
    </w:p>
    <w:p w:rsidR="011D5983" w:rsidP="53148D40" w:rsidRDefault="011D5983" w14:paraId="07DF0F9C" w14:textId="5FF31ECE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Does the calendar depend on the length of the day?</w:t>
      </w:r>
    </w:p>
    <w:p w:rsidR="011D5983" w:rsidP="53148D40" w:rsidRDefault="011D5983" w14:paraId="06D6F7CB" w14:textId="1D29AF07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Yes, in creating your summer VPK calendar please use the following formula: number of instructional days x hours per day = 300 hours.  For example, if your calendar includes 50 instructional days and your instructional day is 6 hours long, 50 days x 6 hours per day = 300 hours.  </w:t>
      </w:r>
    </w:p>
    <w:p w:rsidR="011D5983" w:rsidP="53148D40" w:rsidRDefault="011D5983" w14:paraId="2A34E4FA" w14:textId="1C8B17B3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Is there a deadline to become a summer VPK provider?</w:t>
      </w:r>
    </w:p>
    <w:p w:rsidR="011D5983" w:rsidP="53148D40" w:rsidRDefault="011D5983" w14:paraId="79EE0672" w14:textId="2EAD6324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Summer VPK programs must start in time to include 300 hours of instruction before your local school district starts school in August.  </w:t>
      </w:r>
    </w:p>
    <w:p w:rsidR="011D5983" w:rsidP="53148D40" w:rsidRDefault="011D5983" w14:paraId="4B3C3346" w14:textId="2F7ADD67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How do I apply to open a Summer VPK Classroom?</w:t>
      </w:r>
    </w:p>
    <w:p w:rsidR="011D5983" w:rsidP="53148D40" w:rsidRDefault="011D5983" w14:paraId="6ABD1AC8" w14:textId="1AE23BAF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 are already an approved VPK </w:t>
      </w:r>
      <w:proofErr w:type="gramStart"/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>provider</w:t>
      </w:r>
      <w:proofErr w:type="gramEnd"/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simply go into the portal and access the VPK Application.  You will be able to complete and submit a calendar and provide information about your instructor. If you are not yet a VPK provider, you will need to request a VPK contract. </w:t>
      </w:r>
    </w:p>
    <w:p w:rsidR="011D5983" w:rsidP="53148D40" w:rsidRDefault="011D5983" w14:paraId="7A65A8F0" w14:textId="1EA795FF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11D5983" w:rsidP="53148D40" w:rsidRDefault="011D5983" w14:paraId="70168C2E" w14:textId="46191FDA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 is the maximum class size for Summer VPK?</w:t>
      </w:r>
    </w:p>
    <w:p w:rsidR="011D5983" w:rsidP="53148D40" w:rsidRDefault="011D5983" w14:paraId="5A8CB1F2" w14:textId="03FCF280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148D40" w:rsidR="011D5983">
        <w:rPr>
          <w:rFonts w:ascii="Calibri" w:hAnsi="Calibri" w:eastAsia="Calibri" w:cs="Calibri"/>
          <w:noProof w:val="0"/>
          <w:sz w:val="22"/>
          <w:szCs w:val="22"/>
          <w:lang w:val="en-US"/>
        </w:rPr>
        <w:t>A Summer VPK classroom can have up to 12 students.  There must be 4 VPK eligible students enrolled to begin the program</w:t>
      </w:r>
    </w:p>
    <w:p w:rsidR="53148D40" w:rsidP="53148D40" w:rsidRDefault="53148D40" w14:paraId="41ED0A78" w14:textId="31C44257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F76DCA" w:rsidR="00F76DCA" w:rsidP="53148D40" w:rsidRDefault="00FA5EF8" w14:paraId="12863C3B" w14:textId="77777777">
      <w:pPr>
        <w:pStyle w:val="ListParagraph"/>
        <w:numPr>
          <w:ilvl w:val="0"/>
          <w:numId w:val="4"/>
        </w:numPr>
        <w:rPr>
          <w:rFonts w:eastAsia="" w:cs="Calibri" w:eastAsiaTheme="minorEastAsia" w:cstheme="minorAscii"/>
        </w:rPr>
      </w:pPr>
      <w:r w:rsidRPr="53148D40" w:rsidR="00FA5EF8">
        <w:rPr>
          <w:rFonts w:cs="Calibri" w:cstheme="minorAscii"/>
        </w:rPr>
        <w:t xml:space="preserve">Compliance/Licensing: </w:t>
      </w:r>
    </w:p>
    <w:p w:rsidRPr="00F76DCA" w:rsidR="00FA5EF8" w:rsidP="53148D40" w:rsidRDefault="00FA5EF8" w14:paraId="2D9294FE" w14:textId="724D175D">
      <w:pPr>
        <w:pStyle w:val="ListParagraph"/>
        <w:numPr>
          <w:ilvl w:val="1"/>
          <w:numId w:val="4"/>
        </w:numPr>
        <w:rPr>
          <w:rFonts w:eastAsia="" w:cs="Calibri" w:eastAsiaTheme="minorEastAsia" w:cstheme="minorAscii"/>
        </w:rPr>
      </w:pPr>
      <w:r w:rsidRPr="53148D40" w:rsidR="00FA5EF8">
        <w:rPr>
          <w:rFonts w:cs="Calibri" w:cstheme="minorAscii"/>
        </w:rPr>
        <w:t xml:space="preserve">Health Department contact info: </w:t>
      </w:r>
      <w:r w:rsidRPr="53148D40" w:rsidR="00FA5EF8">
        <w:rPr>
          <w:rFonts w:cs="Calibri" w:cstheme="minorAscii"/>
        </w:rPr>
        <w:t>The Volusia number is 386-274-0695 and the Flagler number is 386-986-7749. They are required to report any positive case in a child or staff member.  </w:t>
      </w:r>
      <w:r w:rsidRPr="53148D40" w:rsidR="00FA5EF8">
        <w:rPr>
          <w:rFonts w:cs="Calibri" w:cstheme="minorAscii"/>
        </w:rPr>
        <w:t xml:space="preserve">DCF </w:t>
      </w:r>
      <w:r w:rsidRPr="53148D40" w:rsidR="00FA5EF8">
        <w:rPr>
          <w:rFonts w:cs="Calibri" w:cstheme="minorAscii"/>
        </w:rPr>
        <w:t>ask</w:t>
      </w:r>
      <w:r w:rsidRPr="53148D40" w:rsidR="00FA5EF8">
        <w:rPr>
          <w:rFonts w:cs="Calibri" w:cstheme="minorAscii"/>
        </w:rPr>
        <w:t>s</w:t>
      </w:r>
      <w:r w:rsidRPr="53148D40" w:rsidR="00FA5EF8">
        <w:rPr>
          <w:rFonts w:cs="Calibri" w:cstheme="minorAscii"/>
        </w:rPr>
        <w:t xml:space="preserve"> that they contact their counselor and let us know what the health department recommendation was. We track facilities that </w:t>
      </w:r>
      <w:proofErr w:type="gramStart"/>
      <w:r w:rsidRPr="53148D40" w:rsidR="00FA5EF8">
        <w:rPr>
          <w:rFonts w:cs="Calibri" w:cstheme="minorAscii"/>
        </w:rPr>
        <w:t>have to</w:t>
      </w:r>
      <w:proofErr w:type="gramEnd"/>
      <w:r w:rsidRPr="53148D40" w:rsidR="00FA5EF8">
        <w:rPr>
          <w:rFonts w:cs="Calibri" w:cstheme="minorAscii"/>
        </w:rPr>
        <w:t xml:space="preserve"> close completely by changing the status in CARES while they are closed. That </w:t>
      </w:r>
      <w:proofErr w:type="gramStart"/>
      <w:r w:rsidRPr="53148D40" w:rsidR="00FA5EF8">
        <w:rPr>
          <w:rFonts w:cs="Calibri" w:cstheme="minorAscii"/>
        </w:rPr>
        <w:t>doesn’t</w:t>
      </w:r>
      <w:proofErr w:type="gramEnd"/>
      <w:r w:rsidRPr="53148D40" w:rsidR="00FA5EF8">
        <w:rPr>
          <w:rFonts w:cs="Calibri" w:cstheme="minorAscii"/>
        </w:rPr>
        <w:t xml:space="preserve"> happen if just one room is closed. However, if any rooms are </w:t>
      </w:r>
      <w:proofErr w:type="gramStart"/>
      <w:r w:rsidRPr="53148D40" w:rsidR="00FA5EF8">
        <w:rPr>
          <w:rFonts w:cs="Calibri" w:cstheme="minorAscii"/>
        </w:rPr>
        <w:t>closed</w:t>
      </w:r>
      <w:proofErr w:type="gramEnd"/>
      <w:r w:rsidRPr="53148D40" w:rsidR="00FA5EF8">
        <w:rPr>
          <w:rFonts w:cs="Calibri" w:cstheme="minorAscii"/>
        </w:rPr>
        <w:t xml:space="preserve"> we do not send staff out during that period. </w:t>
      </w:r>
    </w:p>
    <w:p w:rsidR="1A86A70B" w:rsidP="5738385B" w:rsidRDefault="1A86A70B" w14:paraId="4C11A3B6" w14:textId="6D0B9505"/>
    <w:sectPr w:rsidR="1A86A7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C2908"/>
    <w:multiLevelType w:val="hybridMultilevel"/>
    <w:tmpl w:val="B07E7AAA"/>
    <w:lvl w:ilvl="0" w:tplc="3CDE6C0C">
      <w:start w:val="1"/>
      <w:numFmt w:val="upperRoman"/>
      <w:lvlText w:val="%1."/>
      <w:lvlJc w:val="left"/>
      <w:pPr>
        <w:ind w:left="720" w:hanging="360"/>
      </w:pPr>
    </w:lvl>
    <w:lvl w:ilvl="1" w:tplc="9AFE68AE">
      <w:start w:val="1"/>
      <w:numFmt w:val="lowerLetter"/>
      <w:lvlText w:val="%2."/>
      <w:lvlJc w:val="left"/>
      <w:pPr>
        <w:ind w:left="1440" w:hanging="360"/>
      </w:pPr>
    </w:lvl>
    <w:lvl w:ilvl="2" w:tplc="34CE315A">
      <w:start w:val="1"/>
      <w:numFmt w:val="lowerRoman"/>
      <w:lvlText w:val="%3."/>
      <w:lvlJc w:val="right"/>
      <w:pPr>
        <w:ind w:left="2160" w:hanging="180"/>
      </w:pPr>
    </w:lvl>
    <w:lvl w:ilvl="3" w:tplc="A7D87CEC">
      <w:start w:val="1"/>
      <w:numFmt w:val="decimal"/>
      <w:lvlText w:val="%4."/>
      <w:lvlJc w:val="left"/>
      <w:pPr>
        <w:ind w:left="2880" w:hanging="360"/>
      </w:pPr>
    </w:lvl>
    <w:lvl w:ilvl="4" w:tplc="E550B560">
      <w:start w:val="1"/>
      <w:numFmt w:val="lowerLetter"/>
      <w:lvlText w:val="%5."/>
      <w:lvlJc w:val="left"/>
      <w:pPr>
        <w:ind w:left="3600" w:hanging="360"/>
      </w:pPr>
    </w:lvl>
    <w:lvl w:ilvl="5" w:tplc="C4300ECE">
      <w:start w:val="1"/>
      <w:numFmt w:val="lowerRoman"/>
      <w:lvlText w:val="%6."/>
      <w:lvlJc w:val="right"/>
      <w:pPr>
        <w:ind w:left="4320" w:hanging="180"/>
      </w:pPr>
    </w:lvl>
    <w:lvl w:ilvl="6" w:tplc="5A004F38">
      <w:start w:val="1"/>
      <w:numFmt w:val="decimal"/>
      <w:lvlText w:val="%7."/>
      <w:lvlJc w:val="left"/>
      <w:pPr>
        <w:ind w:left="5040" w:hanging="360"/>
      </w:pPr>
    </w:lvl>
    <w:lvl w:ilvl="7" w:tplc="A5762A06">
      <w:start w:val="1"/>
      <w:numFmt w:val="lowerLetter"/>
      <w:lvlText w:val="%8."/>
      <w:lvlJc w:val="left"/>
      <w:pPr>
        <w:ind w:left="5760" w:hanging="360"/>
      </w:pPr>
    </w:lvl>
    <w:lvl w:ilvl="8" w:tplc="90D00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E32"/>
    <w:multiLevelType w:val="hybridMultilevel"/>
    <w:tmpl w:val="175811B0"/>
    <w:lvl w:ilvl="0" w:tplc="004A81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8A9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82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8CB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42B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24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DEB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B45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DC1B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C81CA2"/>
    <w:multiLevelType w:val="hybridMultilevel"/>
    <w:tmpl w:val="85906E3E"/>
    <w:lvl w:ilvl="0" w:tplc="C898087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7E68B4"/>
    <w:multiLevelType w:val="hybridMultilevel"/>
    <w:tmpl w:val="9EE06EC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EE"/>
    <w:rsid w:val="00532053"/>
    <w:rsid w:val="00621BB1"/>
    <w:rsid w:val="006F6992"/>
    <w:rsid w:val="007944B6"/>
    <w:rsid w:val="007E451F"/>
    <w:rsid w:val="00A62B92"/>
    <w:rsid w:val="00CA45EE"/>
    <w:rsid w:val="00DC5BCD"/>
    <w:rsid w:val="00E756DD"/>
    <w:rsid w:val="00F76DCA"/>
    <w:rsid w:val="00FA5EF8"/>
    <w:rsid w:val="011D5983"/>
    <w:rsid w:val="01E174D8"/>
    <w:rsid w:val="028A5291"/>
    <w:rsid w:val="038E4D3F"/>
    <w:rsid w:val="059DE228"/>
    <w:rsid w:val="0641C29A"/>
    <w:rsid w:val="0712082D"/>
    <w:rsid w:val="0885CC55"/>
    <w:rsid w:val="0979635C"/>
    <w:rsid w:val="0BF2F581"/>
    <w:rsid w:val="0CB6CB78"/>
    <w:rsid w:val="0D304DEC"/>
    <w:rsid w:val="0DA300A9"/>
    <w:rsid w:val="0F3262CC"/>
    <w:rsid w:val="121F225A"/>
    <w:rsid w:val="1336A1D3"/>
    <w:rsid w:val="153BE570"/>
    <w:rsid w:val="15A8F667"/>
    <w:rsid w:val="17D5FBDC"/>
    <w:rsid w:val="18377EC4"/>
    <w:rsid w:val="193E74BD"/>
    <w:rsid w:val="1A7D87A2"/>
    <w:rsid w:val="1A86A70B"/>
    <w:rsid w:val="1C858AF8"/>
    <w:rsid w:val="1D6D94EC"/>
    <w:rsid w:val="1EB6AA1E"/>
    <w:rsid w:val="20F28B9D"/>
    <w:rsid w:val="2365AC09"/>
    <w:rsid w:val="29369C0B"/>
    <w:rsid w:val="29A1261A"/>
    <w:rsid w:val="2AAAA69F"/>
    <w:rsid w:val="2B30407A"/>
    <w:rsid w:val="2C0A0497"/>
    <w:rsid w:val="2DA5D4F8"/>
    <w:rsid w:val="2E6DA896"/>
    <w:rsid w:val="3177F3B2"/>
    <w:rsid w:val="31A54958"/>
    <w:rsid w:val="31A7905A"/>
    <w:rsid w:val="33177058"/>
    <w:rsid w:val="3413C6C9"/>
    <w:rsid w:val="35156CE9"/>
    <w:rsid w:val="355EB2BE"/>
    <w:rsid w:val="37F8C95D"/>
    <w:rsid w:val="38E737EC"/>
    <w:rsid w:val="3C0D654E"/>
    <w:rsid w:val="3E606317"/>
    <w:rsid w:val="3EE83EC2"/>
    <w:rsid w:val="41516059"/>
    <w:rsid w:val="41A94679"/>
    <w:rsid w:val="44651F14"/>
    <w:rsid w:val="4650EE04"/>
    <w:rsid w:val="486AB521"/>
    <w:rsid w:val="49C5D2DD"/>
    <w:rsid w:val="49DD43A6"/>
    <w:rsid w:val="4A352050"/>
    <w:rsid w:val="4A3ECA8E"/>
    <w:rsid w:val="4AA59735"/>
    <w:rsid w:val="4B2F4B7A"/>
    <w:rsid w:val="4BE3AAFF"/>
    <w:rsid w:val="4DE58117"/>
    <w:rsid w:val="501B25FB"/>
    <w:rsid w:val="51B728EB"/>
    <w:rsid w:val="52041E14"/>
    <w:rsid w:val="53148D40"/>
    <w:rsid w:val="5314EB58"/>
    <w:rsid w:val="53969D65"/>
    <w:rsid w:val="555E3B88"/>
    <w:rsid w:val="55ABE3B9"/>
    <w:rsid w:val="5621CCE9"/>
    <w:rsid w:val="5738385B"/>
    <w:rsid w:val="5C5B66E1"/>
    <w:rsid w:val="5E25D210"/>
    <w:rsid w:val="605F81C6"/>
    <w:rsid w:val="60B6E0E4"/>
    <w:rsid w:val="614C5B88"/>
    <w:rsid w:val="618F78A4"/>
    <w:rsid w:val="62BC4A1C"/>
    <w:rsid w:val="6342E900"/>
    <w:rsid w:val="64557C63"/>
    <w:rsid w:val="6480140E"/>
    <w:rsid w:val="65961504"/>
    <w:rsid w:val="66693D49"/>
    <w:rsid w:val="66CEC34A"/>
    <w:rsid w:val="66E891B8"/>
    <w:rsid w:val="68AE5BAA"/>
    <w:rsid w:val="69C4C71C"/>
    <w:rsid w:val="6B60977D"/>
    <w:rsid w:val="6C57F6BB"/>
    <w:rsid w:val="6DCB7230"/>
    <w:rsid w:val="6E3F0B6C"/>
    <w:rsid w:val="6E82168B"/>
    <w:rsid w:val="71018E66"/>
    <w:rsid w:val="75B69376"/>
    <w:rsid w:val="795A1EB2"/>
    <w:rsid w:val="7C03DAEB"/>
    <w:rsid w:val="7DF73D3B"/>
    <w:rsid w:val="7ED35F77"/>
    <w:rsid w:val="7FB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64CD"/>
  <w15:chartTrackingRefBased/>
  <w15:docId w15:val="{9CF8F8B6-96EB-40A0-8693-BE0F48A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5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mpliance@elcfv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elcfv.org/apply-for-ppp-before-march-10th-help-for-family-and-center-based-child-care-businesses-with-fewer-than-20-employees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1D16B37AC042AC34F05D6950A701" ma:contentTypeVersion="4" ma:contentTypeDescription="Create a new document." ma:contentTypeScope="" ma:versionID="6d2b4a353cb9c4eeef1eaeb5cfbf3f83">
  <xsd:schema xmlns:xsd="http://www.w3.org/2001/XMLSchema" xmlns:xs="http://www.w3.org/2001/XMLSchema" xmlns:p="http://schemas.microsoft.com/office/2006/metadata/properties" xmlns:ns2="5e203517-ed9a-4a8a-a0d2-730ea29725e7" targetNamespace="http://schemas.microsoft.com/office/2006/metadata/properties" ma:root="true" ma:fieldsID="80beba403598bfa7dcac8a7686e2e6e7" ns2:_="">
    <xsd:import namespace="5e203517-ed9a-4a8a-a0d2-730ea2972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3517-ed9a-4a8a-a0d2-730ea2972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B02E-E0FA-41F5-B259-777C0E9E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03517-ed9a-4a8a-a0d2-730ea297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FEED6-426A-4198-A482-38C584AED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8EBAF-18C2-469B-AE21-BAC9BB0BB4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Jancy Long</dc:creator>
  <keywords/>
  <dc:description/>
  <lastModifiedBy>Jancy Long</lastModifiedBy>
  <revision>4</revision>
  <dcterms:created xsi:type="dcterms:W3CDTF">2021-03-10T17:07:00.0000000Z</dcterms:created>
  <dcterms:modified xsi:type="dcterms:W3CDTF">2021-03-17T19:49:26.1767382Z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0x0101006C011D16B37AC042AC34F05D6950A701</vt:lpwstr>
  </property>
</Properties>
</file>